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F2" w:rsidRPr="009F57F2" w:rsidRDefault="009F57F2" w:rsidP="009F57F2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7F2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«ЮСК»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ТЕХНОЛОГИЧЕСКОЕ ПРИСОЕДИНЕНИЕ К ЭЛЕКТРИЧЕСКИМ СЕТЯМ СЕТЕВОЙ ОРГАНИЗАЦИИ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энергопринимающих</w:t>
      </w:r>
      <w:proofErr w:type="spellEnd"/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устройств физических лиц с максимальной мощностью до 15 кВт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57F2" w:rsidRPr="009F57F2" w:rsidRDefault="009F57F2" w:rsidP="009F57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КРУГ ЗАЯВИТЕЛЕЙ: 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физическое лицо в целях технологического присоединения (далее - заявитель) </w:t>
      </w:r>
      <w:proofErr w:type="spellStart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ОКАЗАНИЯ УСЛУГИ (ПРОЦЕССА):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намерение заявителя присоединения впервые вводимых в эксплуатацию, ранее присоединенных </w:t>
      </w:r>
      <w:proofErr w:type="spellStart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изменяется.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 ОКАЗАНИЯ УСЛУГИ (ПРОЦЕССА):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технологическое присоединения </w:t>
      </w:r>
      <w:proofErr w:type="spellStart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Заявителя.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ОБЩИЙ СРОК ОКАЗАНИЯ УСЛУГИ (ПРОЦЕССА): </w:t>
      </w:r>
      <w:proofErr w:type="gramStart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энергопринимающие</w:t>
      </w:r>
      <w:proofErr w:type="spellEnd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</w:p>
    <w:p w:rsidR="009F57F2" w:rsidRPr="009F57F2" w:rsidRDefault="009F57F2" w:rsidP="009F57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устройств и (или) объектов электроэнергетики - 4 месяца с даты заключения договора;</w:t>
      </w:r>
    </w:p>
    <w:p w:rsidR="009F57F2" w:rsidRPr="009F57F2" w:rsidRDefault="009F57F2" w:rsidP="009F57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F57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иных случаях – 6 месяцев с даты заключения договора. 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F57F2">
        <w:rPr>
          <w:rFonts w:ascii="Times New Roman" w:eastAsia="Calibri" w:hAnsi="Times New Roman" w:cs="Times New Roman"/>
          <w:sz w:val="24"/>
          <w:szCs w:val="24"/>
        </w:rPr>
        <w:t>При несоблюдении всех вышеуказанных условий - 1 год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9F57F2" w:rsidRPr="009F57F2" w:rsidRDefault="009F57F2" w:rsidP="009F57F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0"/>
        <w:gridCol w:w="2179"/>
        <w:gridCol w:w="2095"/>
        <w:gridCol w:w="2789"/>
        <w:gridCol w:w="2224"/>
        <w:gridCol w:w="1735"/>
        <w:gridCol w:w="2567"/>
      </w:tblGrid>
      <w:tr w:rsidR="009F57F2" w:rsidRPr="009F57F2" w:rsidTr="009F5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/>
              <w:bottom w:val="double" w:sz="4" w:space="0" w:color="4F81BD"/>
            </w:tcBorders>
          </w:tcPr>
          <w:p w:rsidR="009F57F2" w:rsidRPr="009F57F2" w:rsidRDefault="009F57F2" w:rsidP="009F57F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/>
              <w:right w:val="single" w:sz="4" w:space="0" w:color="FFFFFF"/>
            </w:tcBorders>
          </w:tcPr>
          <w:p w:rsidR="009F57F2" w:rsidRPr="009F57F2" w:rsidRDefault="009F57F2" w:rsidP="009F57F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9F57F2" w:rsidRPr="009F57F2" w:rsidRDefault="009F57F2" w:rsidP="009F57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9F57F2" w:rsidRPr="009F57F2" w:rsidRDefault="009F57F2" w:rsidP="009F57F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9F57F2" w:rsidRPr="009F57F2" w:rsidRDefault="009F57F2" w:rsidP="009F57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9F57F2" w:rsidRPr="009F57F2" w:rsidRDefault="009F57F2" w:rsidP="009F57F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:rsidR="009F57F2" w:rsidRPr="009F57F2" w:rsidRDefault="009F57F2" w:rsidP="009F57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9F57F2" w:rsidRPr="009F57F2" w:rsidTr="009F5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/>
            </w:tcBorders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4F81BD"/>
            </w:tcBorders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/>
            </w:tcBorders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/>
            </w:tcBorders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/>
            </w:tcBorders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обращение с заявкой заказным письмом с уведомлением,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по электронной форме на сайте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ООО «ЮСК» или </w:t>
            </w:r>
            <w:r w:rsidRPr="009F57F2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на электронный адрес: </w:t>
            </w:r>
            <w:r w:rsidRPr="009F57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F57F2">
              <w:rPr>
                <w:rFonts w:ascii="Times New Roman" w:eastAsia="Calibri" w:hAnsi="Times New Roman" w:cs="Times New Roman"/>
                <w:lang w:val="en-US"/>
              </w:rPr>
              <w:t>yusk</w:t>
            </w:r>
            <w:proofErr w:type="spellEnd"/>
            <w:r w:rsidRPr="009F57F2">
              <w:rPr>
                <w:rFonts w:ascii="Times New Roman" w:eastAsia="Calibri" w:hAnsi="Times New Roman" w:cs="Times New Roman"/>
              </w:rPr>
              <w:t>61@</w:t>
            </w:r>
            <w:proofErr w:type="spellStart"/>
            <w:r w:rsidRPr="009F57F2">
              <w:rPr>
                <w:rFonts w:ascii="Times New Roman" w:eastAsia="Calibri" w:hAnsi="Times New Roman" w:cs="Times New Roman"/>
                <w:lang w:val="en-US"/>
              </w:rPr>
              <w:t>bk</w:t>
            </w:r>
            <w:proofErr w:type="spellEnd"/>
            <w:r w:rsidRPr="009F57F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F57F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/>
            </w:tcBorders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/>
            </w:tcBorders>
          </w:tcPr>
          <w:p w:rsidR="009F57F2" w:rsidRPr="009F57F2" w:rsidRDefault="009F57F2" w:rsidP="009F57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Пункты  8-10, 14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  <w:r w:rsidRPr="009F57F2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footnoteReference w:id="2"/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9F57F2" w:rsidRPr="009F57F2" w:rsidTr="009B2A5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Arial Narrow" w:eastAsia="Calibri" w:hAnsi="Arial Narrow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рабочих дней после получения заявки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 15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календарных дней со </w:t>
            </w:r>
            <w:proofErr w:type="gramStart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  получения</w:t>
            </w:r>
            <w:proofErr w:type="gramEnd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заявки; 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 отсутствия сведений  (документов) 15 календарных  дней с даты  получения недостающих сведений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 15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П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подписавшего такой договор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рабочих дней </w:t>
            </w:r>
            <w:proofErr w:type="gramStart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 дня</w:t>
            </w:r>
            <w:proofErr w:type="gramEnd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получения заявителем проекта договора.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</w:t>
            </w:r>
            <w:proofErr w:type="spellStart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ненаправления</w:t>
            </w:r>
            <w:proofErr w:type="spellEnd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подписанного проекта договора  либо мотивированного отказа от его подписания через 30 дней  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 заявка аннулируется.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2.3 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F5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Пункт 15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копии представленных документов заявителем.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В письменной или электронной форме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 15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 15, 17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 15, 16.1, 18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F2" w:rsidRPr="009F57F2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После выполнения технических условий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Пункты 85, 86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Проверка выполнения технических условий</w:t>
            </w:r>
          </w:p>
        </w:tc>
        <w:tc>
          <w:tcPr>
            <w:tcW w:w="74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Pr="009F57F2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течение 10 дней со дня получения от заявителя документов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Пункты 83-89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4.2.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9F57F2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Не позднее 3 рабочих дней после получения от заявителя уведомления об устранении замечаний с приложением информации о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принятых мерах по их устранению.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Пункты 89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Прием в эксплуатацию прибора учета.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Pr="009F57F2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день проведения проверки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Х</w:t>
            </w:r>
            <w:r w:rsidRPr="009F57F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 функционирования розничных рынков электрической энергии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</w:tr>
      <w:tr w:rsidR="009F57F2" w:rsidRPr="009F57F2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В день проведения проверки 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 88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4.4.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Подписанный Акт о выполнении технических условий в письменной форме направляется  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, позволяющим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В день проведения проверки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Пункты 88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Пункты 7, 18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Оформление сетевой организации и направление (выдача) заявителю: 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Акта об осуществлении технологического присоединения;</w:t>
            </w:r>
          </w:p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Подписанный со стороны сетевой организации Акт  в письменной форме направляется 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устройств)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заявителя к электрическим сетям и фактического приема (подачи) напряжения и мощности.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Пункт 19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  <w:tr w:rsidR="009F57F2" w:rsidRPr="009F57F2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энергосбытовую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организацию </w:t>
            </w:r>
          </w:p>
        </w:tc>
        <w:tc>
          <w:tcPr>
            <w:tcW w:w="791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Calibri" w:eastAsia="Calibri" w:hAnsi="Calibri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</w:tcPr>
          <w:p w:rsidR="009F57F2" w:rsidRPr="009F57F2" w:rsidRDefault="009F57F2" w:rsidP="009F57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Пункт 19 (1) Правил технологического присоединения </w:t>
            </w:r>
            <w:proofErr w:type="spellStart"/>
            <w:r w:rsidRPr="009F57F2">
              <w:rPr>
                <w:rFonts w:ascii="Times New Roman" w:eastAsia="Calibri" w:hAnsi="Times New Roman" w:cs="Times New Roman"/>
                <w:color w:val="000000"/>
              </w:rPr>
              <w:t>энергопринимающих</w:t>
            </w:r>
            <w:proofErr w:type="spellEnd"/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устройств потребителей электрической энергии</w:t>
            </w:r>
          </w:p>
        </w:tc>
      </w:tr>
    </w:tbl>
    <w:p w:rsidR="009F57F2" w:rsidRPr="009F57F2" w:rsidRDefault="009F57F2" w:rsidP="009F57F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КОНТАКТНАЯ ИНФОРМАЦИЯ ДЛЯ НАПРАВЛЕНИЯ ОБРАЩЕНИИЙ: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9F5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Телефонный номер ООО «ЮСК» </w:t>
      </w:r>
      <w:r w:rsidRPr="009F57F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217-79-39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F57F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9F57F2">
        <w:rPr>
          <w:rFonts w:ascii="Times New Roman" w:eastAsia="Calibri" w:hAnsi="Times New Roman" w:cs="Times New Roman"/>
          <w:sz w:val="24"/>
          <w:szCs w:val="24"/>
          <w:lang w:bidi="ru-RU"/>
        </w:rPr>
        <w:t>Адрес электронной почты: yusk61@bk.ru</w:t>
      </w:r>
      <w:hyperlink r:id="rId10" w:history="1">
        <w:r w:rsidRPr="009F57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ru-RU"/>
          </w:rPr>
          <w:t xml:space="preserve"> </w:t>
        </w:r>
      </w:hyperlink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F57F2">
        <w:rPr>
          <w:rFonts w:ascii="Times New Roman" w:eastAsia="Calibri" w:hAnsi="Times New Roman" w:cs="Times New Roman"/>
          <w:sz w:val="24"/>
          <w:szCs w:val="24"/>
          <w:lang w:bidi="ru-RU"/>
        </w:rPr>
        <w:t>Почтовый адрес ООО «ЮСК»: 344002, Ростовская область, г. Ростов-на-Дону, ул. Береговая, д.27 А, оф.8</w:t>
      </w:r>
    </w:p>
    <w:p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476707" w:rsidRDefault="00476707">
      <w:bookmarkStart w:id="0" w:name="_GoBack"/>
      <w:bookmarkEnd w:id="0"/>
    </w:p>
    <w:sectPr w:rsidR="00476707" w:rsidSect="005C5FB6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02" w:rsidRDefault="008B1602" w:rsidP="009F57F2">
      <w:pPr>
        <w:spacing w:after="0" w:line="240" w:lineRule="auto"/>
      </w:pPr>
      <w:r>
        <w:separator/>
      </w:r>
    </w:p>
  </w:endnote>
  <w:endnote w:type="continuationSeparator" w:id="0">
    <w:p w:rsidR="008B1602" w:rsidRDefault="008B1602" w:rsidP="009F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02" w:rsidRDefault="008B1602" w:rsidP="009F57F2">
      <w:pPr>
        <w:spacing w:after="0" w:line="240" w:lineRule="auto"/>
      </w:pPr>
      <w:r>
        <w:separator/>
      </w:r>
    </w:p>
  </w:footnote>
  <w:footnote w:type="continuationSeparator" w:id="0">
    <w:p w:rsidR="008B1602" w:rsidRDefault="008B1602" w:rsidP="009F57F2">
      <w:pPr>
        <w:spacing w:after="0" w:line="240" w:lineRule="auto"/>
      </w:pPr>
      <w:r>
        <w:continuationSeparator/>
      </w:r>
    </w:p>
  </w:footnote>
  <w:footnote w:id="1">
    <w:p w:rsidR="009F57F2" w:rsidRDefault="009F57F2" w:rsidP="009F57F2">
      <w:pPr>
        <w:pStyle w:val="1"/>
      </w:pPr>
      <w:r>
        <w:rPr>
          <w:rStyle w:val="a5"/>
        </w:rPr>
        <w:footnoteRef/>
      </w:r>
      <w:r>
        <w:t xml:space="preserve"> </w:t>
      </w:r>
      <w:r w:rsidRPr="00F9777B">
        <w:rPr>
          <w:rFonts w:ascii="Times New Roman" w:hAnsi="Times New Roman" w:cs="Times New Roman"/>
        </w:rPr>
        <w:t xml:space="preserve">Тарифные решения </w:t>
      </w:r>
      <w:r w:rsidRPr="00F9777B">
        <w:rPr>
          <w:rFonts w:ascii="Times New Roman" w:hAnsi="Times New Roman"/>
        </w:rPr>
        <w:t>по субъектам Российской Федерации представлены на сайте сетевой организации в разделе</w:t>
      </w:r>
      <w:r>
        <w:rPr>
          <w:rFonts w:ascii="Times New Roman" w:hAnsi="Times New Roman"/>
        </w:rPr>
        <w:t>:</w:t>
      </w:r>
      <w:r w:rsidRPr="00F97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9777B">
        <w:rPr>
          <w:rFonts w:ascii="Times New Roman" w:hAnsi="Times New Roman"/>
        </w:rPr>
        <w:t>Тарифы на технологическое присоединение</w:t>
      </w:r>
      <w:r>
        <w:rPr>
          <w:rFonts w:ascii="Times New Roman" w:hAnsi="Times New Roman"/>
        </w:rPr>
        <w:t>»</w:t>
      </w:r>
    </w:p>
  </w:footnote>
  <w:footnote w:id="2">
    <w:p w:rsidR="009F57F2" w:rsidRDefault="009F57F2" w:rsidP="009F57F2">
      <w:pPr>
        <w:pStyle w:val="1"/>
      </w:pPr>
      <w:r>
        <w:rPr>
          <w:rStyle w:val="a5"/>
        </w:rPr>
        <w:footnoteRef/>
      </w:r>
      <w:r>
        <w:t xml:space="preserve"> </w:t>
      </w:r>
      <w:r w:rsidRPr="00996EE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EEC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</w:t>
      </w:r>
      <w:proofErr w:type="spellStart"/>
      <w:r w:rsidRPr="00996EEC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96EEC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96EEC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 w:cs="Times New Roman"/>
          <w:sz w:val="26"/>
          <w:szCs w:val="26"/>
        </w:rPr>
        <w:t xml:space="preserve">от 27.12.2004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EEC">
        <w:rPr>
          <w:rFonts w:ascii="Times New Roman" w:hAnsi="Times New Roman" w:cs="Times New Roman"/>
          <w:sz w:val="26"/>
          <w:szCs w:val="26"/>
        </w:rPr>
        <w:t>861</w:t>
      </w:r>
    </w:p>
  </w:footnote>
  <w:footnote w:id="3">
    <w:p w:rsid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F"/>
    <w:rsid w:val="00476707"/>
    <w:rsid w:val="005C0FDF"/>
    <w:rsid w:val="008B1602"/>
    <w:rsid w:val="009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7099-3999-4F86-91C4-0AA24F12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9F57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9F57F2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F57F2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9F57F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3">
    <w:name w:val="footnote text"/>
    <w:basedOn w:val="a"/>
    <w:link w:val="10"/>
    <w:uiPriority w:val="99"/>
    <w:semiHidden/>
    <w:unhideWhenUsed/>
    <w:rsid w:val="009F57F2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9F57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diagonal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1873</Words>
  <Characters>10680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2019-02-25T12:53:00Z</dcterms:created>
  <dcterms:modified xsi:type="dcterms:W3CDTF">2019-02-25T12:54:00Z</dcterms:modified>
</cp:coreProperties>
</file>